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3399A693"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AF3F2A">
        <w:rPr>
          <w:b/>
          <w:noProof/>
          <w:lang w:eastAsia="zh-CN"/>
        </w:rPr>
        <w:t>10</w:t>
      </w:r>
      <w:r w:rsidR="0068096C">
        <w:rPr>
          <w:b/>
          <w:noProof/>
          <w:lang w:eastAsia="zh-CN"/>
        </w:rPr>
        <w:t>2-</w:t>
      </w:r>
      <w:r w:rsidR="0068096C">
        <w:rPr>
          <w:rFonts w:ascii="바탕체" w:eastAsia="바탕체" w:hAnsi="바탕체" w:cs="바탕체"/>
          <w:b/>
          <w:noProof/>
          <w:lang w:eastAsia="zh-CN"/>
        </w:rPr>
        <w:t>e</w:t>
      </w:r>
      <w:r w:rsidR="00197358" w:rsidRPr="007B4D70">
        <w:rPr>
          <w:b/>
          <w:kern w:val="2"/>
          <w:lang w:eastAsia="zh-CN"/>
        </w:rPr>
        <w:tab/>
      </w:r>
      <w:r w:rsidRPr="00BA5CE0">
        <w:rPr>
          <w:b/>
          <w:kern w:val="2"/>
          <w:lang w:eastAsia="zh-CN"/>
        </w:rPr>
        <w:t>R1-</w:t>
      </w:r>
      <w:r w:rsidR="00DF42D0" w:rsidRPr="00BA5CE0">
        <w:rPr>
          <w:b/>
          <w:kern w:val="2"/>
          <w:lang w:eastAsia="zh-CN"/>
        </w:rPr>
        <w:t>20</w:t>
      </w:r>
      <w:r w:rsidR="00DF42D0">
        <w:rPr>
          <w:b/>
          <w:kern w:val="2"/>
          <w:lang w:eastAsia="zh-CN"/>
        </w:rPr>
        <w:t>06591</w:t>
      </w:r>
    </w:p>
    <w:p w14:paraId="17E317D5" w14:textId="00DAF5EF"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68096C" w:rsidRPr="0068096C">
        <w:rPr>
          <w:b/>
          <w:noProof/>
          <w:lang w:eastAsia="zh-CN"/>
        </w:rPr>
        <w:t>August 17th – 28th, 2020</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52D31956" w:rsid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68096C" w:rsidRPr="0068096C">
        <w:rPr>
          <w:color w:val="000000"/>
          <w:lang w:val="en-GB"/>
        </w:rPr>
        <w:t>feasibility of ULFPTx modes and transparent TxD for certain UE implementations</w:t>
      </w:r>
    </w:p>
    <w:p w14:paraId="077FEC16" w14:textId="77777777" w:rsidR="0068096C" w:rsidRPr="00EE438E" w:rsidRDefault="0068096C" w:rsidP="00EE438E">
      <w:pPr>
        <w:autoSpaceDE/>
        <w:autoSpaceDN/>
        <w:adjustRightInd/>
        <w:snapToGrid/>
        <w:spacing w:after="0"/>
        <w:ind w:left="1985" w:hanging="1985"/>
        <w:jc w:val="left"/>
        <w:rPr>
          <w:b/>
          <w:color w:val="000000"/>
          <w:lang w:val="en-GB"/>
        </w:rPr>
      </w:pPr>
    </w:p>
    <w:p w14:paraId="796104ED" w14:textId="7E1A0B2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68096C" w:rsidRPr="0068096C">
        <w:rPr>
          <w:color w:val="000000"/>
          <w:lang w:val="en-GB"/>
        </w:rPr>
        <w:t>R4-2009171</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6E5931E2"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8096C">
        <w:rPr>
          <w:color w:val="000000"/>
          <w:lang w:val="en-GB"/>
        </w:rPr>
        <w:t>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1C54FC72" w:rsidR="00EE438E" w:rsidRPr="00EE438E" w:rsidRDefault="00E24260" w:rsidP="00EE438E">
      <w:pPr>
        <w:pStyle w:val="1"/>
        <w:spacing w:before="0" w:after="0"/>
        <w:rPr>
          <w:sz w:val="22"/>
          <w:szCs w:val="22"/>
        </w:rPr>
      </w:pPr>
      <w:r>
        <w:rPr>
          <w:sz w:val="22"/>
          <w:szCs w:val="22"/>
        </w:rPr>
        <w:t xml:space="preserve">Overall description </w:t>
      </w:r>
    </w:p>
    <w:p w14:paraId="0D98DAD8" w14:textId="08C32F2F" w:rsidR="00E24260" w:rsidRDefault="00E24260" w:rsidP="00E24260">
      <w:pPr>
        <w:rPr>
          <w:lang w:eastAsia="zh-CN"/>
        </w:rPr>
      </w:pPr>
      <w:r w:rsidRPr="00E24260">
        <w:rPr>
          <w:lang w:eastAsia="zh-CN"/>
        </w:rPr>
        <w:t xml:space="preserve">RAN1 would like to provide replies on the following questions from RAN2 in </w:t>
      </w:r>
      <w:r w:rsidR="00B66E00" w:rsidRPr="00B66E00">
        <w:rPr>
          <w:lang w:eastAsia="zh-CN"/>
        </w:rPr>
        <w:t>R4-2009171</w:t>
      </w:r>
      <w:r w:rsidRPr="00E24260">
        <w:rPr>
          <w:lang w:eastAsia="zh-CN"/>
        </w:rPr>
        <w:t>:</w:t>
      </w:r>
    </w:p>
    <w:p w14:paraId="485481F6" w14:textId="5FB4C03E" w:rsidR="00B66E00" w:rsidRDefault="00B66E00" w:rsidP="006B4E12">
      <w:pPr>
        <w:tabs>
          <w:tab w:val="center" w:pos="4153"/>
          <w:tab w:val="right" w:pos="8306"/>
        </w:tabs>
        <w:autoSpaceDE/>
        <w:autoSpaceDN/>
        <w:adjustRightInd/>
        <w:rPr>
          <w:rFonts w:eastAsia="맑은 고딕"/>
          <w:b/>
          <w:i/>
          <w:u w:val="single"/>
        </w:rPr>
      </w:pPr>
      <w:r w:rsidRPr="009C1846">
        <w:rPr>
          <w:b/>
          <w:noProof/>
          <w:szCs w:val="20"/>
          <w:lang w:eastAsia="ko-KR"/>
        </w:rPr>
        <mc:AlternateContent>
          <mc:Choice Requires="wps">
            <w:drawing>
              <wp:inline distT="0" distB="0" distL="0" distR="0" wp14:anchorId="343FED81" wp14:editId="138745AF">
                <wp:extent cx="5777230" cy="1404620"/>
                <wp:effectExtent l="0" t="0" r="13970" b="2476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230" cy="1404620"/>
                        </a:xfrm>
                        <a:prstGeom prst="rect">
                          <a:avLst/>
                        </a:prstGeom>
                        <a:solidFill>
                          <a:srgbClr val="FFFFFF"/>
                        </a:solidFill>
                        <a:ln w="9525">
                          <a:solidFill>
                            <a:srgbClr val="000000"/>
                          </a:solidFill>
                          <a:miter lim="800000"/>
                          <a:headEnd/>
                          <a:tailEnd/>
                        </a:ln>
                      </wps:spPr>
                      <wps:txbx>
                        <w:txbxContent>
                          <w:p w14:paraId="23ADE66B"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sz w:val="20"/>
                                <w:szCs w:val="20"/>
                                <w:lang w:val="en-GB"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16D6519" w14:textId="77777777" w:rsidR="00B66E00" w:rsidRPr="00C46AC5" w:rsidRDefault="00B66E00" w:rsidP="00B66E00">
                            <w:pPr>
                              <w:numPr>
                                <w:ilvl w:val="0"/>
                                <w:numId w:val="71"/>
                              </w:numPr>
                              <w:overflowPunct w:val="0"/>
                              <w:autoSpaceDE/>
                              <w:autoSpaceDN/>
                              <w:adjustRightInd/>
                              <w:snapToGrid/>
                              <w:ind w:left="714" w:hanging="357"/>
                              <w:jc w:val="left"/>
                              <w:textAlignment w:val="baseline"/>
                              <w:rPr>
                                <w:rFonts w:ascii="Arial" w:hAnsi="Arial" w:cs="Arial"/>
                                <w:sz w:val="20"/>
                                <w:szCs w:val="20"/>
                                <w:lang w:eastAsia="zh-CN"/>
                              </w:rPr>
                            </w:pPr>
                            <w:r w:rsidRPr="00C46AC5">
                              <w:rPr>
                                <w:rFonts w:ascii="Arial" w:hAnsi="Arial" w:cs="Arial"/>
                                <w:sz w:val="20"/>
                                <w:szCs w:val="20"/>
                                <w:lang w:val="en-GB" w:eastAsia="zh-CN"/>
                              </w:rPr>
                              <w:t xml:space="preserve">First case: Transparent TxD </w:t>
                            </w:r>
                            <w:r w:rsidRPr="00C46AC5">
                              <w:rPr>
                                <w:rFonts w:ascii="Arial" w:hAnsi="Arial" w:cs="Arial"/>
                                <w:sz w:val="20"/>
                                <w:szCs w:val="20"/>
                                <w:lang w:eastAsia="zh-CN"/>
                              </w:rPr>
                              <w:t>for UE configured with single SRS port (either with DCI_0_0 or single SRS port with DCI_0_1);</w:t>
                            </w:r>
                          </w:p>
                          <w:p w14:paraId="3CCC52D7" w14:textId="77777777" w:rsidR="00B66E00" w:rsidRPr="00C46AC5" w:rsidRDefault="00B66E00" w:rsidP="00B66E00">
                            <w:pPr>
                              <w:numPr>
                                <w:ilvl w:val="0"/>
                                <w:numId w:val="71"/>
                              </w:numPr>
                              <w:overflowPunct w:val="0"/>
                              <w:autoSpaceDE/>
                              <w:autoSpaceDN/>
                              <w:adjustRightInd/>
                              <w:snapToGrid/>
                              <w:ind w:left="714" w:hanging="357"/>
                              <w:jc w:val="left"/>
                              <w:textAlignment w:val="baseline"/>
                              <w:rPr>
                                <w:rFonts w:ascii="Arial" w:hAnsi="Arial" w:cs="Arial"/>
                                <w:sz w:val="20"/>
                                <w:szCs w:val="20"/>
                                <w:lang w:eastAsia="zh-CN"/>
                              </w:rPr>
                            </w:pPr>
                            <w:r w:rsidRPr="00C46AC5">
                              <w:rPr>
                                <w:rFonts w:ascii="Arial" w:hAnsi="Arial" w:cs="Arial"/>
                                <w:sz w:val="20"/>
                                <w:szCs w:val="20"/>
                                <w:lang w:eastAsia="zh-CN"/>
                              </w:rPr>
                              <w:t>Second case: Transparent TxD for UE configured with 2 SRS ports (FFS whether TxD is feasible in this case).</w:t>
                            </w:r>
                          </w:p>
                          <w:p w14:paraId="0592C505" w14:textId="77777777" w:rsidR="00B66E00" w:rsidRPr="00C46AC5" w:rsidRDefault="00B66E00" w:rsidP="00B66E00">
                            <w:pPr>
                              <w:overflowPunct w:val="0"/>
                              <w:autoSpaceDE/>
                              <w:autoSpaceDN/>
                              <w:spacing w:before="120"/>
                              <w:jc w:val="left"/>
                              <w:textAlignment w:val="baseline"/>
                              <w:rPr>
                                <w:rFonts w:ascii="Arial" w:hAnsi="Arial" w:cs="Arial"/>
                                <w:sz w:val="20"/>
                                <w:szCs w:val="20"/>
                                <w:lang w:val="en-GB" w:eastAsia="zh-CN"/>
                              </w:rPr>
                            </w:pPr>
                            <w:r w:rsidRPr="00C46AC5">
                              <w:rPr>
                                <w:rFonts w:ascii="Arial" w:hAnsi="Arial" w:cs="Arial"/>
                                <w:sz w:val="20"/>
                                <w:szCs w:val="20"/>
                                <w:lang w:eastAsia="zh-CN"/>
                              </w:rPr>
                              <w:t xml:space="preserve">For the second case, two possible methods to </w:t>
                            </w:r>
                            <w:r w:rsidRPr="00C46AC5">
                              <w:rPr>
                                <w:rFonts w:ascii="Arial" w:hAnsi="Arial" w:cs="Arial"/>
                                <w:sz w:val="20"/>
                                <w:szCs w:val="20"/>
                                <w:lang w:val="en-GB" w:eastAsia="zh-CN"/>
                              </w:rPr>
                              <w:t xml:space="preserve">transmit a multi-port SRS resource (i.e. 2Tx ports) with two PAs (PA1 and PA2) were considered, i.e. </w:t>
                            </w:r>
                          </w:p>
                          <w:p w14:paraId="6A9D0C28" w14:textId="77777777" w:rsidR="00B66E00" w:rsidRPr="00C46AC5" w:rsidRDefault="00B66E00" w:rsidP="00B66E00">
                            <w:pPr>
                              <w:numPr>
                                <w:ilvl w:val="0"/>
                                <w:numId w:val="72"/>
                              </w:numPr>
                              <w:overflowPunct w:val="0"/>
                              <w:autoSpaceDE/>
                              <w:autoSpaceDN/>
                              <w:adjustRightInd/>
                              <w:snapToGrid/>
                              <w:jc w:val="left"/>
                              <w:textAlignment w:val="baseline"/>
                              <w:rPr>
                                <w:rFonts w:ascii="Arial" w:hAnsi="Arial" w:cs="Arial"/>
                                <w:sz w:val="20"/>
                                <w:szCs w:val="20"/>
                                <w:lang w:eastAsia="zh-CN"/>
                              </w:rPr>
                            </w:pPr>
                            <w:r w:rsidRPr="00C46AC5">
                              <w:rPr>
                                <w:rFonts w:ascii="Arial" w:hAnsi="Arial" w:cs="Arial"/>
                                <w:sz w:val="20"/>
                                <w:szCs w:val="20"/>
                                <w:lang w:val="en-GB" w:eastAsia="zh-CN"/>
                              </w:rPr>
                              <w:t>Method-1: SRS port-1 maps to PA1, SRS port-2 maps to PA2</w:t>
                            </w:r>
                          </w:p>
                          <w:p w14:paraId="25E85557" w14:textId="77777777" w:rsidR="00B66E00" w:rsidRPr="00C46AC5" w:rsidRDefault="00B66E00" w:rsidP="00B66E00">
                            <w:pPr>
                              <w:numPr>
                                <w:ilvl w:val="0"/>
                                <w:numId w:val="72"/>
                              </w:numPr>
                              <w:overflowPunct w:val="0"/>
                              <w:autoSpaceDE/>
                              <w:autoSpaceDN/>
                              <w:adjustRightInd/>
                              <w:snapToGrid/>
                              <w:jc w:val="left"/>
                              <w:textAlignment w:val="baseline"/>
                              <w:rPr>
                                <w:rFonts w:ascii="Arial" w:hAnsi="Arial" w:cs="Arial"/>
                                <w:sz w:val="20"/>
                                <w:szCs w:val="20"/>
                                <w:lang w:eastAsia="zh-CN"/>
                              </w:rPr>
                            </w:pPr>
                            <w:r w:rsidRPr="00C46AC5">
                              <w:rPr>
                                <w:rFonts w:ascii="Arial" w:hAnsi="Arial" w:cs="Arial"/>
                                <w:sz w:val="20"/>
                                <w:szCs w:val="20"/>
                                <w:lang w:val="en-GB" w:eastAsia="zh-CN"/>
                              </w:rPr>
                              <w:t>Method-2: SRS port-1 maps to PA1+PA2, SRS port-2 maps to PA1+PA2</w:t>
                            </w:r>
                          </w:p>
                          <w:p w14:paraId="5D1EB947" w14:textId="77777777" w:rsidR="00B66E00" w:rsidRPr="00C46AC5" w:rsidRDefault="00B66E00" w:rsidP="00B66E00">
                            <w:pPr>
                              <w:overflowPunct w:val="0"/>
                              <w:autoSpaceDE/>
                              <w:autoSpaceDN/>
                              <w:spacing w:before="120"/>
                              <w:jc w:val="left"/>
                              <w:textAlignment w:val="baseline"/>
                              <w:rPr>
                                <w:rFonts w:ascii="Arial" w:hAnsi="Arial" w:cs="Arial"/>
                                <w:sz w:val="20"/>
                                <w:szCs w:val="20"/>
                                <w:lang w:val="en-GB" w:eastAsia="zh-CN"/>
                              </w:rPr>
                            </w:pPr>
                            <w:r w:rsidRPr="00C46AC5">
                              <w:rPr>
                                <w:rFonts w:ascii="Arial" w:hAnsi="Arial" w:cs="Arial"/>
                                <w:sz w:val="20"/>
                                <w:szCs w:val="20"/>
                                <w:lang w:val="en-GB" w:eastAsia="zh-CN"/>
                              </w:rPr>
                              <w:t>In order to make progress of corresponding discussion of transparent TxD related issues, RAN4 would like to get some clarification from RAN1 for the feasibility of the second case.</w:t>
                            </w:r>
                          </w:p>
                          <w:p w14:paraId="7EB6CE5A"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b/>
                                <w:sz w:val="20"/>
                                <w:szCs w:val="20"/>
                                <w:lang w:val="en-GB" w:eastAsia="zh-CN"/>
                              </w:rPr>
                              <w:t>Question 1</w:t>
                            </w:r>
                            <w:r w:rsidRPr="00C46AC5">
                              <w:rPr>
                                <w:rFonts w:ascii="Arial" w:hAnsi="Arial" w:cs="Arial"/>
                                <w:sz w:val="20"/>
                                <w:szCs w:val="20"/>
                                <w:lang w:val="en-GB" w:eastAsia="zh-CN"/>
                              </w:rPr>
                              <w:t>: Whether the two mentioned methods are both feasible to transmit the full output power?</w:t>
                            </w:r>
                          </w:p>
                          <w:p w14:paraId="461752AC"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b/>
                                <w:sz w:val="20"/>
                                <w:szCs w:val="20"/>
                                <w:lang w:val="en-GB" w:eastAsia="zh-CN"/>
                              </w:rPr>
                              <w:t>Question 2</w:t>
                            </w:r>
                            <w:r w:rsidRPr="00C46AC5">
                              <w:rPr>
                                <w:rFonts w:ascii="Arial" w:hAnsi="Arial" w:cs="Arial"/>
                                <w:sz w:val="20"/>
                                <w:szCs w:val="20"/>
                                <w:lang w:val="en-GB" w:eastAsia="zh-CN"/>
                              </w:rPr>
                              <w:t>: If answer is yes, which ULFPTx modes can be supported for these two methods?</w:t>
                            </w:r>
                          </w:p>
                          <w:p w14:paraId="07CB739E" w14:textId="77777777" w:rsidR="00B66E00" w:rsidRPr="00C46AC5" w:rsidRDefault="00B66E00" w:rsidP="00B66E00">
                            <w:pPr>
                              <w:autoSpaceDE/>
                              <w:autoSpaceDN/>
                              <w:spacing w:after="0"/>
                              <w:jc w:val="left"/>
                              <w:rPr>
                                <w:rFonts w:ascii="Arial" w:hAnsi="Arial" w:cs="Arial"/>
                                <w:sz w:val="20"/>
                                <w:szCs w:val="20"/>
                                <w:lang w:val="en-GB" w:eastAsia="zh-CN"/>
                              </w:rPr>
                            </w:pPr>
                          </w:p>
                          <w:p w14:paraId="231F33CA" w14:textId="77777777" w:rsidR="00B66E00" w:rsidRPr="00C46AC5" w:rsidRDefault="00B66E00" w:rsidP="00B66E00">
                            <w:pPr>
                              <w:autoSpaceDE/>
                              <w:autoSpaceDN/>
                              <w:spacing w:after="0"/>
                              <w:jc w:val="left"/>
                              <w:rPr>
                                <w:rFonts w:ascii="Arial" w:hAnsi="Arial" w:cs="Arial"/>
                                <w:sz w:val="20"/>
                                <w:szCs w:val="20"/>
                                <w:lang w:val="en-GB" w:eastAsia="zh-CN"/>
                              </w:rPr>
                            </w:pPr>
                            <w:r w:rsidRPr="00C46AC5">
                              <w:rPr>
                                <w:rFonts w:ascii="Arial" w:hAnsi="Arial" w:cs="Arial"/>
                                <w:sz w:val="20"/>
                                <w:szCs w:val="20"/>
                                <w:lang w:val="en-GB" w:eastAsia="zh-CN"/>
                              </w:rPr>
                              <w:t xml:space="preserve">Furthermore, RAN4 discussed that the feasibility of different ULFPTx modes in FR2 UE. The ULFPTx mode-1 for FR2 UE has been confirmed to be feasible, while companies have different understandings for the other two modes (i.e., mode-1 and the other mode). RAN4 would like to get some clarification from RAN1 for the feasibility of the other two modes. </w:t>
                            </w:r>
                          </w:p>
                          <w:p w14:paraId="7F12997B" w14:textId="77777777" w:rsidR="00B66E00" w:rsidRPr="00C46AC5" w:rsidRDefault="00B66E00" w:rsidP="00B66E00">
                            <w:pPr>
                              <w:autoSpaceDE/>
                              <w:autoSpaceDN/>
                              <w:spacing w:after="0"/>
                              <w:jc w:val="left"/>
                              <w:rPr>
                                <w:rFonts w:ascii="Arial" w:hAnsi="Arial" w:cs="Arial"/>
                                <w:sz w:val="20"/>
                                <w:szCs w:val="20"/>
                                <w:lang w:val="en-GB" w:eastAsia="zh-CN"/>
                              </w:rPr>
                            </w:pPr>
                          </w:p>
                          <w:p w14:paraId="0797005E"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b/>
                                <w:sz w:val="20"/>
                                <w:szCs w:val="20"/>
                                <w:lang w:val="en-GB" w:eastAsia="zh-CN"/>
                              </w:rPr>
                              <w:t>Question 3</w:t>
                            </w:r>
                            <w:r w:rsidRPr="00C46AC5">
                              <w:rPr>
                                <w:rFonts w:ascii="Arial" w:hAnsi="Arial" w:cs="Arial"/>
                                <w:sz w:val="20"/>
                                <w:szCs w:val="20"/>
                                <w:lang w:val="en-GB" w:eastAsia="zh-CN"/>
                              </w:rPr>
                              <w:t>: Whether the ULFPTx mode-2 and the other ULPFTx mode are feasible for FR2 UE?</w:t>
                            </w:r>
                          </w:p>
                        </w:txbxContent>
                      </wps:txbx>
                      <wps:bodyPr rot="0" vert="horz" wrap="square" lIns="91440" tIns="45720" rIns="91440" bIns="45720" anchor="t" anchorCtr="0">
                        <a:spAutoFit/>
                      </wps:bodyPr>
                    </wps:wsp>
                  </a:graphicData>
                </a:graphic>
              </wp:inline>
            </w:drawing>
          </mc:Choice>
          <mc:Fallback>
            <w:pict>
              <v:shapetype w14:anchorId="343FED81" id="_x0000_t202" coordsize="21600,21600" o:spt="202" path="m,l,21600r21600,l21600,xe">
                <v:stroke joinstyle="miter"/>
                <v:path gradientshapeok="t" o:connecttype="rect"/>
              </v:shapetype>
              <v:shape id="텍스트 상자 2" o:spid="_x0000_s1026" type="#_x0000_t202" style="width:454.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">
                <v:textbox style="mso-fit-shape-to-text:t">
                  <w:txbxContent>
                    <w:p w14:paraId="23ADE66B"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sz w:val="20"/>
                          <w:szCs w:val="20"/>
                          <w:lang w:val="en-GB"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16D6519" w14:textId="77777777" w:rsidR="00B66E00" w:rsidRPr="00C46AC5" w:rsidRDefault="00B66E00" w:rsidP="00B66E00">
                      <w:pPr>
                        <w:numPr>
                          <w:ilvl w:val="0"/>
                          <w:numId w:val="71"/>
                        </w:numPr>
                        <w:overflowPunct w:val="0"/>
                        <w:autoSpaceDE/>
                        <w:autoSpaceDN/>
                        <w:adjustRightInd/>
                        <w:snapToGrid/>
                        <w:ind w:left="714" w:hanging="357"/>
                        <w:jc w:val="left"/>
                        <w:textAlignment w:val="baseline"/>
                        <w:rPr>
                          <w:rFonts w:ascii="Arial" w:hAnsi="Arial" w:cs="Arial"/>
                          <w:sz w:val="20"/>
                          <w:szCs w:val="20"/>
                          <w:lang w:eastAsia="zh-CN"/>
                        </w:rPr>
                      </w:pPr>
                      <w:r w:rsidRPr="00C46AC5">
                        <w:rPr>
                          <w:rFonts w:ascii="Arial" w:hAnsi="Arial" w:cs="Arial"/>
                          <w:sz w:val="20"/>
                          <w:szCs w:val="20"/>
                          <w:lang w:val="en-GB" w:eastAsia="zh-CN"/>
                        </w:rPr>
                        <w:t xml:space="preserve">First case: Transparent TxD </w:t>
                      </w:r>
                      <w:r w:rsidRPr="00C46AC5">
                        <w:rPr>
                          <w:rFonts w:ascii="Arial" w:hAnsi="Arial" w:cs="Arial"/>
                          <w:sz w:val="20"/>
                          <w:szCs w:val="20"/>
                          <w:lang w:eastAsia="zh-CN"/>
                        </w:rPr>
                        <w:t>for UE configured with single SRS port (either with DCI_0_0 or single SRS port with DCI_0_1);</w:t>
                      </w:r>
                    </w:p>
                    <w:p w14:paraId="3CCC52D7" w14:textId="77777777" w:rsidR="00B66E00" w:rsidRPr="00C46AC5" w:rsidRDefault="00B66E00" w:rsidP="00B66E00">
                      <w:pPr>
                        <w:numPr>
                          <w:ilvl w:val="0"/>
                          <w:numId w:val="71"/>
                        </w:numPr>
                        <w:overflowPunct w:val="0"/>
                        <w:autoSpaceDE/>
                        <w:autoSpaceDN/>
                        <w:adjustRightInd/>
                        <w:snapToGrid/>
                        <w:ind w:left="714" w:hanging="357"/>
                        <w:jc w:val="left"/>
                        <w:textAlignment w:val="baseline"/>
                        <w:rPr>
                          <w:rFonts w:ascii="Arial" w:hAnsi="Arial" w:cs="Arial"/>
                          <w:sz w:val="20"/>
                          <w:szCs w:val="20"/>
                          <w:lang w:eastAsia="zh-CN"/>
                        </w:rPr>
                      </w:pPr>
                      <w:r w:rsidRPr="00C46AC5">
                        <w:rPr>
                          <w:rFonts w:ascii="Arial" w:hAnsi="Arial" w:cs="Arial"/>
                          <w:sz w:val="20"/>
                          <w:szCs w:val="20"/>
                          <w:lang w:eastAsia="zh-CN"/>
                        </w:rPr>
                        <w:t>Second case: Transparent TxD for UE configured with 2 SRS ports (FFS whether TxD is feasible in this case).</w:t>
                      </w:r>
                    </w:p>
                    <w:p w14:paraId="0592C505" w14:textId="77777777" w:rsidR="00B66E00" w:rsidRPr="00C46AC5" w:rsidRDefault="00B66E00" w:rsidP="00B66E00">
                      <w:pPr>
                        <w:overflowPunct w:val="0"/>
                        <w:autoSpaceDE/>
                        <w:autoSpaceDN/>
                        <w:spacing w:before="120"/>
                        <w:jc w:val="left"/>
                        <w:textAlignment w:val="baseline"/>
                        <w:rPr>
                          <w:rFonts w:ascii="Arial" w:hAnsi="Arial" w:cs="Arial"/>
                          <w:sz w:val="20"/>
                          <w:szCs w:val="20"/>
                          <w:lang w:val="en-GB" w:eastAsia="zh-CN"/>
                        </w:rPr>
                      </w:pPr>
                      <w:r w:rsidRPr="00C46AC5">
                        <w:rPr>
                          <w:rFonts w:ascii="Arial" w:hAnsi="Arial" w:cs="Arial"/>
                          <w:sz w:val="20"/>
                          <w:szCs w:val="20"/>
                          <w:lang w:eastAsia="zh-CN"/>
                        </w:rPr>
                        <w:t xml:space="preserve">For the second case, two possible methods to </w:t>
                      </w:r>
                      <w:r w:rsidRPr="00C46AC5">
                        <w:rPr>
                          <w:rFonts w:ascii="Arial" w:hAnsi="Arial" w:cs="Arial"/>
                          <w:sz w:val="20"/>
                          <w:szCs w:val="20"/>
                          <w:lang w:val="en-GB" w:eastAsia="zh-CN"/>
                        </w:rPr>
                        <w:t xml:space="preserve">transmit a multi-port SRS resource (i.e. 2Tx ports) with two PAs (PA1 and PA2) were considered, i.e. </w:t>
                      </w:r>
                    </w:p>
                    <w:p w14:paraId="6A9D0C28" w14:textId="77777777" w:rsidR="00B66E00" w:rsidRPr="00C46AC5" w:rsidRDefault="00B66E00" w:rsidP="00B66E00">
                      <w:pPr>
                        <w:numPr>
                          <w:ilvl w:val="0"/>
                          <w:numId w:val="72"/>
                        </w:numPr>
                        <w:overflowPunct w:val="0"/>
                        <w:autoSpaceDE/>
                        <w:autoSpaceDN/>
                        <w:adjustRightInd/>
                        <w:snapToGrid/>
                        <w:jc w:val="left"/>
                        <w:textAlignment w:val="baseline"/>
                        <w:rPr>
                          <w:rFonts w:ascii="Arial" w:hAnsi="Arial" w:cs="Arial"/>
                          <w:sz w:val="20"/>
                          <w:szCs w:val="20"/>
                          <w:lang w:eastAsia="zh-CN"/>
                        </w:rPr>
                      </w:pPr>
                      <w:r w:rsidRPr="00C46AC5">
                        <w:rPr>
                          <w:rFonts w:ascii="Arial" w:hAnsi="Arial" w:cs="Arial"/>
                          <w:sz w:val="20"/>
                          <w:szCs w:val="20"/>
                          <w:lang w:val="en-GB" w:eastAsia="zh-CN"/>
                        </w:rPr>
                        <w:t>Method-1: SRS port-1 maps to PA1, SRS port-2 maps to PA2</w:t>
                      </w:r>
                    </w:p>
                    <w:p w14:paraId="25E85557" w14:textId="77777777" w:rsidR="00B66E00" w:rsidRPr="00C46AC5" w:rsidRDefault="00B66E00" w:rsidP="00B66E00">
                      <w:pPr>
                        <w:numPr>
                          <w:ilvl w:val="0"/>
                          <w:numId w:val="72"/>
                        </w:numPr>
                        <w:overflowPunct w:val="0"/>
                        <w:autoSpaceDE/>
                        <w:autoSpaceDN/>
                        <w:adjustRightInd/>
                        <w:snapToGrid/>
                        <w:jc w:val="left"/>
                        <w:textAlignment w:val="baseline"/>
                        <w:rPr>
                          <w:rFonts w:ascii="Arial" w:hAnsi="Arial" w:cs="Arial"/>
                          <w:sz w:val="20"/>
                          <w:szCs w:val="20"/>
                          <w:lang w:eastAsia="zh-CN"/>
                        </w:rPr>
                      </w:pPr>
                      <w:r w:rsidRPr="00C46AC5">
                        <w:rPr>
                          <w:rFonts w:ascii="Arial" w:hAnsi="Arial" w:cs="Arial"/>
                          <w:sz w:val="20"/>
                          <w:szCs w:val="20"/>
                          <w:lang w:val="en-GB" w:eastAsia="zh-CN"/>
                        </w:rPr>
                        <w:t>Method-2: SRS port-1 maps to PA1+PA2, SRS port-2 maps to PA1+PA2</w:t>
                      </w:r>
                    </w:p>
                    <w:p w14:paraId="5D1EB947" w14:textId="77777777" w:rsidR="00B66E00" w:rsidRPr="00C46AC5" w:rsidRDefault="00B66E00" w:rsidP="00B66E00">
                      <w:pPr>
                        <w:overflowPunct w:val="0"/>
                        <w:autoSpaceDE/>
                        <w:autoSpaceDN/>
                        <w:spacing w:before="120"/>
                        <w:jc w:val="left"/>
                        <w:textAlignment w:val="baseline"/>
                        <w:rPr>
                          <w:rFonts w:ascii="Arial" w:hAnsi="Arial" w:cs="Arial"/>
                          <w:sz w:val="20"/>
                          <w:szCs w:val="20"/>
                          <w:lang w:val="en-GB" w:eastAsia="zh-CN"/>
                        </w:rPr>
                      </w:pPr>
                      <w:r w:rsidRPr="00C46AC5">
                        <w:rPr>
                          <w:rFonts w:ascii="Arial" w:hAnsi="Arial" w:cs="Arial"/>
                          <w:sz w:val="20"/>
                          <w:szCs w:val="20"/>
                          <w:lang w:val="en-GB" w:eastAsia="zh-CN"/>
                        </w:rPr>
                        <w:t>In order to make progress of corresponding discussion of transparent TxD related issues, RAN4 would like to get some clarification from RAN1 for the feasibility of the second case.</w:t>
                      </w:r>
                    </w:p>
                    <w:p w14:paraId="7EB6CE5A"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b/>
                          <w:sz w:val="20"/>
                          <w:szCs w:val="20"/>
                          <w:lang w:val="en-GB" w:eastAsia="zh-CN"/>
                        </w:rPr>
                        <w:t>Question 1</w:t>
                      </w:r>
                      <w:r w:rsidRPr="00C46AC5">
                        <w:rPr>
                          <w:rFonts w:ascii="Arial" w:hAnsi="Arial" w:cs="Arial"/>
                          <w:sz w:val="20"/>
                          <w:szCs w:val="20"/>
                          <w:lang w:val="en-GB" w:eastAsia="zh-CN"/>
                        </w:rPr>
                        <w:t>: Whether the two mentioned methods are both feasible to transmit the full output power?</w:t>
                      </w:r>
                    </w:p>
                    <w:p w14:paraId="461752AC"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b/>
                          <w:sz w:val="20"/>
                          <w:szCs w:val="20"/>
                          <w:lang w:val="en-GB" w:eastAsia="zh-CN"/>
                        </w:rPr>
                        <w:t>Question 2</w:t>
                      </w:r>
                      <w:r w:rsidRPr="00C46AC5">
                        <w:rPr>
                          <w:rFonts w:ascii="Arial" w:hAnsi="Arial" w:cs="Arial"/>
                          <w:sz w:val="20"/>
                          <w:szCs w:val="20"/>
                          <w:lang w:val="en-GB" w:eastAsia="zh-CN"/>
                        </w:rPr>
                        <w:t>: If answer is yes, which ULFPTx modes can be supported for these two methods?</w:t>
                      </w:r>
                    </w:p>
                    <w:p w14:paraId="07CB739E" w14:textId="77777777" w:rsidR="00B66E00" w:rsidRPr="00C46AC5" w:rsidRDefault="00B66E00" w:rsidP="00B66E00">
                      <w:pPr>
                        <w:autoSpaceDE/>
                        <w:autoSpaceDN/>
                        <w:spacing w:after="0"/>
                        <w:jc w:val="left"/>
                        <w:rPr>
                          <w:rFonts w:ascii="Arial" w:hAnsi="Arial" w:cs="Arial"/>
                          <w:sz w:val="20"/>
                          <w:szCs w:val="20"/>
                          <w:lang w:val="en-GB" w:eastAsia="zh-CN"/>
                        </w:rPr>
                      </w:pPr>
                    </w:p>
                    <w:p w14:paraId="231F33CA" w14:textId="77777777" w:rsidR="00B66E00" w:rsidRPr="00C46AC5" w:rsidRDefault="00B66E00" w:rsidP="00B66E00">
                      <w:pPr>
                        <w:autoSpaceDE/>
                        <w:autoSpaceDN/>
                        <w:spacing w:after="0"/>
                        <w:jc w:val="left"/>
                        <w:rPr>
                          <w:rFonts w:ascii="Arial" w:hAnsi="Arial" w:cs="Arial"/>
                          <w:sz w:val="20"/>
                          <w:szCs w:val="20"/>
                          <w:lang w:val="en-GB" w:eastAsia="zh-CN"/>
                        </w:rPr>
                      </w:pPr>
                      <w:r w:rsidRPr="00C46AC5">
                        <w:rPr>
                          <w:rFonts w:ascii="Arial" w:hAnsi="Arial" w:cs="Arial"/>
                          <w:sz w:val="20"/>
                          <w:szCs w:val="20"/>
                          <w:lang w:val="en-GB" w:eastAsia="zh-CN"/>
                        </w:rPr>
                        <w:t xml:space="preserve">Furthermore, RAN4 discussed that the feasibility of different ULFPTx modes in FR2 UE. The ULFPTx mode-1 for FR2 UE has been confirmed to be feasible, while companies have different understandings for the other two modes (i.e., mode-1 and the other mode). RAN4 would like to get some clarification from RAN1 for the feasibility of the other two modes. </w:t>
                      </w:r>
                    </w:p>
                    <w:p w14:paraId="7F12997B" w14:textId="77777777" w:rsidR="00B66E00" w:rsidRPr="00C46AC5" w:rsidRDefault="00B66E00" w:rsidP="00B66E00">
                      <w:pPr>
                        <w:autoSpaceDE/>
                        <w:autoSpaceDN/>
                        <w:spacing w:after="0"/>
                        <w:jc w:val="left"/>
                        <w:rPr>
                          <w:rFonts w:ascii="Arial" w:hAnsi="Arial" w:cs="Arial"/>
                          <w:sz w:val="20"/>
                          <w:szCs w:val="20"/>
                          <w:lang w:val="en-GB" w:eastAsia="zh-CN"/>
                        </w:rPr>
                      </w:pPr>
                    </w:p>
                    <w:p w14:paraId="0797005E" w14:textId="77777777" w:rsidR="00B66E00" w:rsidRPr="00C46AC5" w:rsidRDefault="00B66E00" w:rsidP="00B66E00">
                      <w:pPr>
                        <w:overflowPunct w:val="0"/>
                        <w:autoSpaceDE/>
                        <w:autoSpaceDN/>
                        <w:jc w:val="left"/>
                        <w:textAlignment w:val="baseline"/>
                        <w:rPr>
                          <w:rFonts w:ascii="Arial" w:hAnsi="Arial" w:cs="Arial"/>
                          <w:sz w:val="20"/>
                          <w:szCs w:val="20"/>
                          <w:lang w:val="en-GB" w:eastAsia="zh-CN"/>
                        </w:rPr>
                      </w:pPr>
                      <w:r w:rsidRPr="00C46AC5">
                        <w:rPr>
                          <w:rFonts w:ascii="Arial" w:hAnsi="Arial" w:cs="Arial"/>
                          <w:b/>
                          <w:sz w:val="20"/>
                          <w:szCs w:val="20"/>
                          <w:lang w:val="en-GB" w:eastAsia="zh-CN"/>
                        </w:rPr>
                        <w:t>Question 3</w:t>
                      </w:r>
                      <w:r w:rsidRPr="00C46AC5">
                        <w:rPr>
                          <w:rFonts w:ascii="Arial" w:hAnsi="Arial" w:cs="Arial"/>
                          <w:sz w:val="20"/>
                          <w:szCs w:val="20"/>
                          <w:lang w:val="en-GB" w:eastAsia="zh-CN"/>
                        </w:rPr>
                        <w:t>: Whether the ULFPTx mode-2 and the other ULPFTx mode are feasible for FR2 UE?</w:t>
                      </w:r>
                    </w:p>
                  </w:txbxContent>
                </v:textbox>
                <w10:anchorlock/>
              </v:shape>
            </w:pict>
          </mc:Fallback>
        </mc:AlternateContent>
      </w:r>
    </w:p>
    <w:p w14:paraId="49940A8C" w14:textId="77777777" w:rsidR="00B66E00" w:rsidRDefault="00B66E00" w:rsidP="006B4E12">
      <w:pPr>
        <w:tabs>
          <w:tab w:val="center" w:pos="4153"/>
          <w:tab w:val="right" w:pos="8306"/>
        </w:tabs>
        <w:autoSpaceDE/>
        <w:autoSpaceDN/>
        <w:adjustRightInd/>
        <w:rPr>
          <w:rFonts w:eastAsia="맑은 고딕"/>
          <w:b/>
          <w:i/>
          <w:u w:val="single"/>
        </w:rPr>
      </w:pPr>
    </w:p>
    <w:p w14:paraId="028782B4" w14:textId="77777777" w:rsidR="00B66E00" w:rsidRDefault="00B66E00" w:rsidP="006B4E12">
      <w:pPr>
        <w:tabs>
          <w:tab w:val="center" w:pos="4153"/>
          <w:tab w:val="right" w:pos="8306"/>
        </w:tabs>
        <w:autoSpaceDE/>
        <w:autoSpaceDN/>
        <w:adjustRightInd/>
        <w:rPr>
          <w:rFonts w:eastAsia="맑은 고딕"/>
          <w:b/>
          <w:i/>
          <w:u w:val="single"/>
        </w:rPr>
      </w:pPr>
    </w:p>
    <w:p w14:paraId="2291AA7E" w14:textId="77777777" w:rsidR="005C4DFE" w:rsidRDefault="005C4DFE" w:rsidP="006B4E12">
      <w:pPr>
        <w:tabs>
          <w:tab w:val="center" w:pos="4153"/>
          <w:tab w:val="right" w:pos="8306"/>
        </w:tabs>
        <w:autoSpaceDE/>
        <w:autoSpaceDN/>
        <w:adjustRightInd/>
        <w:rPr>
          <w:rFonts w:eastAsia="맑은 고딕"/>
          <w:b/>
          <w:i/>
          <w:u w:val="single"/>
        </w:rPr>
      </w:pPr>
    </w:p>
    <w:p w14:paraId="494667E2" w14:textId="77777777" w:rsidR="005C4DFE" w:rsidRDefault="005C4DFE" w:rsidP="006B4E12">
      <w:pPr>
        <w:tabs>
          <w:tab w:val="center" w:pos="4153"/>
          <w:tab w:val="right" w:pos="8306"/>
        </w:tabs>
        <w:autoSpaceDE/>
        <w:autoSpaceDN/>
        <w:adjustRightInd/>
        <w:rPr>
          <w:rFonts w:eastAsia="맑은 고딕"/>
          <w:b/>
          <w:i/>
          <w:u w:val="single"/>
          <w:lang w:eastAsia="ko-KR"/>
        </w:rPr>
      </w:pPr>
    </w:p>
    <w:p w14:paraId="7668D621" w14:textId="3E3B29F9" w:rsidR="0052398C" w:rsidRDefault="006E4644" w:rsidP="006B4E12">
      <w:pPr>
        <w:tabs>
          <w:tab w:val="center" w:pos="4153"/>
          <w:tab w:val="right" w:pos="8306"/>
        </w:tabs>
        <w:autoSpaceDE/>
        <w:autoSpaceDN/>
        <w:adjustRightInd/>
        <w:rPr>
          <w:rFonts w:eastAsia="맑은 고딕"/>
          <w:b/>
          <w:i/>
          <w:u w:val="single"/>
        </w:rPr>
      </w:pPr>
      <w:r>
        <w:rPr>
          <w:rFonts w:eastAsia="맑은 고딕"/>
          <w:b/>
          <w:i/>
          <w:u w:val="single"/>
        </w:rPr>
        <w:lastRenderedPageBreak/>
        <w:t>Response to Q1:</w:t>
      </w:r>
    </w:p>
    <w:p w14:paraId="39F648AB" w14:textId="7E55D4EB" w:rsidR="005C4DFE" w:rsidRDefault="005C4DFE" w:rsidP="005C4DFE">
      <w:pPr>
        <w:pStyle w:val="LGTdoc1"/>
        <w:snapToGrid/>
        <w:spacing w:beforeLines="0" w:before="100" w:beforeAutospacing="1" w:line="360" w:lineRule="auto"/>
        <w:ind w:firstLine="228"/>
        <w:contextualSpacing/>
        <w:rPr>
          <w:b w:val="0"/>
          <w:sz w:val="22"/>
        </w:rPr>
      </w:pPr>
      <w:r>
        <w:rPr>
          <w:rFonts w:hint="eastAsia"/>
          <w:b w:val="0"/>
          <w:sz w:val="22"/>
        </w:rPr>
        <w:t>From RAN1 perspective, method 1 is one-to-one PA-to-port mapping and method 2 is two-to-one PA</w:t>
      </w:r>
      <w:r>
        <w:rPr>
          <w:b w:val="0"/>
          <w:sz w:val="22"/>
        </w:rPr>
        <w:t xml:space="preserve">-to-port mapping which can be referred to antenna virtualization and is up to UE implementation. So, if UE reports its capability of supporting ULFPTx based on either method 1 or 2, ULFPTx can be supported. Thus, both methods are feasible. </w:t>
      </w:r>
    </w:p>
    <w:p w14:paraId="0BE74F15" w14:textId="77777777" w:rsidR="006E4644" w:rsidRDefault="006E4644" w:rsidP="006B4E12">
      <w:pPr>
        <w:tabs>
          <w:tab w:val="center" w:pos="4153"/>
          <w:tab w:val="right" w:pos="8306"/>
        </w:tabs>
        <w:autoSpaceDE/>
        <w:autoSpaceDN/>
        <w:adjustRightInd/>
        <w:rPr>
          <w:b/>
          <w:i/>
        </w:rPr>
      </w:pPr>
    </w:p>
    <w:p w14:paraId="03323B1C" w14:textId="0F1DF7CB" w:rsidR="006E4644" w:rsidRDefault="006E4644" w:rsidP="006E4644">
      <w:pPr>
        <w:tabs>
          <w:tab w:val="center" w:pos="4153"/>
          <w:tab w:val="right" w:pos="8306"/>
        </w:tabs>
        <w:autoSpaceDE/>
        <w:autoSpaceDN/>
        <w:adjustRightInd/>
        <w:rPr>
          <w:rFonts w:eastAsia="맑은 고딕"/>
          <w:b/>
          <w:i/>
          <w:u w:val="single"/>
        </w:rPr>
      </w:pPr>
      <w:r>
        <w:rPr>
          <w:rFonts w:eastAsia="맑은 고딕"/>
          <w:b/>
          <w:i/>
          <w:u w:val="single"/>
        </w:rPr>
        <w:t>Response to Q2:</w:t>
      </w:r>
    </w:p>
    <w:p w14:paraId="3ADEF518" w14:textId="67DF06E8" w:rsidR="005C4DFE" w:rsidRDefault="00E12AE6" w:rsidP="005C4DFE">
      <w:pPr>
        <w:pStyle w:val="LGTdoc1"/>
        <w:snapToGrid/>
        <w:spacing w:beforeLines="0" w:before="100" w:beforeAutospacing="1" w:line="360" w:lineRule="auto"/>
        <w:ind w:firstLineChars="100" w:firstLine="220"/>
        <w:contextualSpacing/>
        <w:rPr>
          <w:b w:val="0"/>
          <w:sz w:val="22"/>
        </w:rPr>
      </w:pPr>
      <w:r w:rsidRPr="00E12AE6">
        <w:rPr>
          <w:b w:val="0"/>
          <w:sz w:val="22"/>
        </w:rPr>
        <w:t xml:space="preserve">The answer for Q2 </w:t>
      </w:r>
      <w:r>
        <w:rPr>
          <w:b w:val="0"/>
          <w:sz w:val="22"/>
        </w:rPr>
        <w:t xml:space="preserve">is that it is </w:t>
      </w:r>
      <w:r w:rsidRPr="00E12AE6">
        <w:rPr>
          <w:b w:val="0"/>
          <w:sz w:val="22"/>
        </w:rPr>
        <w:t>depend</w:t>
      </w:r>
      <w:r>
        <w:rPr>
          <w:b w:val="0"/>
          <w:sz w:val="22"/>
        </w:rPr>
        <w:t>ing</w:t>
      </w:r>
      <w:r w:rsidRPr="00E12AE6">
        <w:rPr>
          <w:b w:val="0"/>
          <w:sz w:val="22"/>
        </w:rPr>
        <w:t xml:space="preserve"> on UE PA capability</w:t>
      </w:r>
      <w:r>
        <w:rPr>
          <w:b w:val="0"/>
          <w:sz w:val="22"/>
        </w:rPr>
        <w:t>.</w:t>
      </w:r>
      <w:r w:rsidRPr="00E12AE6">
        <w:rPr>
          <w:b w:val="0"/>
          <w:sz w:val="22"/>
        </w:rPr>
        <w:t xml:space="preserve"> </w:t>
      </w:r>
      <w:r w:rsidR="005C4DFE">
        <w:rPr>
          <w:b w:val="0"/>
          <w:sz w:val="22"/>
        </w:rPr>
        <w:t>For example, if UE is equipped with two full-rated PA (e.g. 23dBm for PC3), then both methods can support all ULFPTx modes.</w:t>
      </w:r>
    </w:p>
    <w:p w14:paraId="3DD64803" w14:textId="77777777" w:rsidR="005C4DFE" w:rsidRDefault="005C4DFE" w:rsidP="005C4DFE">
      <w:pPr>
        <w:pStyle w:val="LGTdoc1"/>
        <w:snapToGrid/>
        <w:spacing w:beforeLines="0" w:before="100" w:beforeAutospacing="1" w:line="360" w:lineRule="auto"/>
        <w:ind w:firstLineChars="100" w:firstLine="220"/>
        <w:contextualSpacing/>
        <w:rPr>
          <w:b w:val="0"/>
          <w:sz w:val="22"/>
        </w:rPr>
      </w:pPr>
    </w:p>
    <w:p w14:paraId="7D22A735" w14:textId="7C56425E" w:rsidR="005C4DFE" w:rsidRDefault="005C4DFE" w:rsidP="005C4DFE">
      <w:pPr>
        <w:tabs>
          <w:tab w:val="center" w:pos="4153"/>
          <w:tab w:val="right" w:pos="8306"/>
        </w:tabs>
        <w:autoSpaceDE/>
        <w:autoSpaceDN/>
        <w:adjustRightInd/>
        <w:rPr>
          <w:rFonts w:eastAsia="맑은 고딕"/>
          <w:b/>
          <w:i/>
          <w:u w:val="single"/>
        </w:rPr>
      </w:pPr>
      <w:r>
        <w:rPr>
          <w:rFonts w:eastAsia="맑은 고딕"/>
          <w:b/>
          <w:i/>
          <w:u w:val="single"/>
        </w:rPr>
        <w:t>Response to Q3:</w:t>
      </w:r>
    </w:p>
    <w:p w14:paraId="055B81DD" w14:textId="24F03F59" w:rsidR="005C4DFE" w:rsidRPr="002F3E41" w:rsidRDefault="005C4DFE" w:rsidP="005C4DFE">
      <w:pPr>
        <w:pStyle w:val="LGTdoc1"/>
        <w:snapToGrid/>
        <w:spacing w:beforeLines="0" w:before="100" w:beforeAutospacing="1" w:line="360" w:lineRule="auto"/>
        <w:ind w:firstLineChars="100" w:firstLine="220"/>
        <w:contextualSpacing/>
        <w:rPr>
          <w:b w:val="0"/>
          <w:sz w:val="22"/>
        </w:rPr>
      </w:pPr>
      <w:r>
        <w:rPr>
          <w:b w:val="0"/>
          <w:sz w:val="22"/>
        </w:rPr>
        <w:t xml:space="preserve">During the Rel-16 WI phase, RAN1 does not differentiate the ULFPTx modes according to the frequency range. Thus, in </w:t>
      </w:r>
      <w:r w:rsidR="00C90B7C">
        <w:rPr>
          <w:b w:val="0"/>
          <w:sz w:val="22"/>
        </w:rPr>
        <w:t>RAN1 perspective</w:t>
      </w:r>
      <w:r>
        <w:rPr>
          <w:b w:val="0"/>
          <w:sz w:val="22"/>
        </w:rPr>
        <w:t xml:space="preserve">, all </w:t>
      </w:r>
      <w:r w:rsidRPr="00185E47">
        <w:rPr>
          <w:b w:val="0"/>
          <w:sz w:val="22"/>
        </w:rPr>
        <w:t>ULFPTx mode</w:t>
      </w:r>
      <w:r>
        <w:rPr>
          <w:b w:val="0"/>
          <w:sz w:val="22"/>
        </w:rPr>
        <w:t xml:space="preserve">s are feasible for FR2. </w:t>
      </w:r>
    </w:p>
    <w:p w14:paraId="6223E55F" w14:textId="77777777" w:rsidR="00AC0D8A" w:rsidRPr="005C4DFE" w:rsidRDefault="00AC0D8A" w:rsidP="00AC0D8A">
      <w:pPr>
        <w:overflowPunct w:val="0"/>
        <w:snapToGrid/>
        <w:spacing w:after="0"/>
        <w:textAlignment w:val="baseline"/>
        <w:rPr>
          <w:lang w:val="en-GB" w:eastAsia="zh-CN"/>
        </w:rPr>
      </w:pPr>
    </w:p>
    <w:p w14:paraId="2E9F27B7" w14:textId="77777777" w:rsidR="00D64FBE" w:rsidRPr="007B4D70" w:rsidRDefault="00D64FBE" w:rsidP="00AC0D8A">
      <w:pPr>
        <w:overflowPunct w:val="0"/>
        <w:snapToGrid/>
        <w:spacing w:after="0"/>
        <w:textAlignment w:val="baseline"/>
        <w:rPr>
          <w:lang w:eastAsia="zh-CN"/>
        </w:rPr>
      </w:pPr>
    </w:p>
    <w:p w14:paraId="5CA91D56" w14:textId="08D5401F" w:rsidR="00EE438E" w:rsidRDefault="00EE438E" w:rsidP="00EE438E">
      <w:pPr>
        <w:pStyle w:val="1"/>
        <w:spacing w:before="0" w:after="0"/>
        <w:ind w:left="0" w:firstLine="0"/>
        <w:rPr>
          <w:sz w:val="22"/>
          <w:szCs w:val="22"/>
          <w:lang w:eastAsia="zh-CN"/>
        </w:rPr>
      </w:pPr>
      <w:bookmarkStart w:id="0" w:name="_Ref129681832"/>
      <w:r w:rsidRPr="00EE438E">
        <w:rPr>
          <w:sz w:val="22"/>
          <w:szCs w:val="22"/>
          <w:lang w:eastAsia="zh-CN"/>
        </w:rPr>
        <w:t>Actions</w:t>
      </w:r>
    </w:p>
    <w:p w14:paraId="2832BE41" w14:textId="77777777" w:rsidR="00E24260" w:rsidRPr="00937C01" w:rsidRDefault="00E24260" w:rsidP="00E24260">
      <w:pPr>
        <w:ind w:left="1985" w:hanging="1985"/>
        <w:rPr>
          <w:rFonts w:ascii="Arial" w:hAnsi="Arial" w:cs="Arial"/>
          <w:b/>
        </w:rPr>
      </w:pPr>
      <w:r w:rsidRPr="00937C01">
        <w:rPr>
          <w:rFonts w:ascii="Arial" w:hAnsi="Arial" w:cs="Arial"/>
          <w:b/>
        </w:rPr>
        <w:t>To RAN2</w:t>
      </w:r>
    </w:p>
    <w:p w14:paraId="07237D37" w14:textId="458305CE"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68096C">
        <w:rPr>
          <w:lang w:eastAsia="zh-CN"/>
        </w:rPr>
        <w:t>4</w:t>
      </w:r>
      <w:r w:rsidRPr="00E24260">
        <w:rPr>
          <w:lang w:eastAsia="zh-CN"/>
        </w:rPr>
        <w:t xml:space="preserve"> to take the above information into account in their further work</w:t>
      </w:r>
    </w:p>
    <w:p w14:paraId="183989A3" w14:textId="77777777" w:rsidR="00E24260" w:rsidRDefault="00E24260" w:rsidP="003C10BC">
      <w:pPr>
        <w:autoSpaceDE/>
        <w:autoSpaceDN/>
        <w:adjustRightInd/>
        <w:snapToGrid/>
        <w:spacing w:after="0"/>
        <w:contextualSpacing/>
        <w:rPr>
          <w:lang w:eastAsia="zh-CN"/>
        </w:rPr>
      </w:pPr>
    </w:p>
    <w:p w14:paraId="7261E23E" w14:textId="2475AC67" w:rsidR="00E24260" w:rsidRPr="008C188B" w:rsidRDefault="008C188B" w:rsidP="008C188B">
      <w:pPr>
        <w:tabs>
          <w:tab w:val="left" w:pos="1044"/>
        </w:tabs>
        <w:autoSpaceDE/>
        <w:autoSpaceDN/>
        <w:adjustRightInd/>
        <w:snapToGrid/>
        <w:spacing w:after="0"/>
        <w:contextualSpacing/>
        <w:rPr>
          <w:lang w:eastAsia="zh-CN"/>
        </w:rPr>
      </w:pPr>
      <w:r>
        <w:rPr>
          <w:lang w:eastAsia="zh-CN"/>
        </w:rPr>
        <w:tab/>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772BC561" w14:textId="11DB0E3F" w:rsidR="00EE438E" w:rsidRPr="00EE438E" w:rsidRDefault="00EE438E" w:rsidP="00EE438E">
      <w:pPr>
        <w:spacing w:after="0"/>
        <w:rPr>
          <w:rFonts w:eastAsia="Times New Roman"/>
        </w:rPr>
      </w:pPr>
      <w:r w:rsidRPr="00D64FBE">
        <w:rPr>
          <w:rFonts w:eastAsia="Times New Roman"/>
        </w:rPr>
        <w:t>TSG-RAN WG1 Meeting#</w:t>
      </w:r>
      <w:r w:rsidR="00974891" w:rsidRPr="00D64FBE">
        <w:rPr>
          <w:rFonts w:eastAsia="Times New Roman"/>
        </w:rPr>
        <w:t>10</w:t>
      </w:r>
      <w:r w:rsidR="0068096C">
        <w:rPr>
          <w:rFonts w:eastAsia="Times New Roman"/>
        </w:rPr>
        <w:t>3</w:t>
      </w:r>
      <w:r w:rsidRPr="00D64FBE">
        <w:rPr>
          <w:rFonts w:eastAsia="Times New Roman"/>
        </w:rPr>
        <w:tab/>
      </w:r>
      <w:r w:rsidRPr="00D64FBE">
        <w:rPr>
          <w:rFonts w:eastAsia="Times New Roman"/>
        </w:rPr>
        <w:tab/>
      </w:r>
      <w:r w:rsidR="0068096C">
        <w:rPr>
          <w:rFonts w:eastAsia="Times New Roman"/>
        </w:rPr>
        <w:t xml:space="preserve"> 26</w:t>
      </w:r>
      <w:r w:rsidR="0068096C" w:rsidRPr="0068096C">
        <w:rPr>
          <w:rFonts w:eastAsia="Times New Roman"/>
          <w:vertAlign w:val="superscript"/>
        </w:rPr>
        <w:t>th</w:t>
      </w:r>
      <w:r w:rsidR="0068096C">
        <w:rPr>
          <w:rFonts w:eastAsia="Times New Roman"/>
        </w:rPr>
        <w:t xml:space="preserve"> OCT </w:t>
      </w:r>
      <w:r w:rsidR="009A2615">
        <w:rPr>
          <w:rFonts w:eastAsia="Times New Roman"/>
        </w:rPr>
        <w:t>t</w:t>
      </w:r>
      <w:bookmarkStart w:id="1" w:name="_GoBack"/>
      <w:bookmarkEnd w:id="1"/>
      <w:r w:rsidRPr="00D64FBE">
        <w:rPr>
          <w:rFonts w:eastAsia="Times New Roman"/>
        </w:rPr>
        <w:t xml:space="preserve">o </w:t>
      </w:r>
      <w:r w:rsidR="0068096C">
        <w:rPr>
          <w:rFonts w:eastAsia="Times New Roman"/>
        </w:rPr>
        <w:t>13</w:t>
      </w:r>
      <w:r w:rsidR="00CB3E18" w:rsidRPr="00D64FBE">
        <w:rPr>
          <w:rFonts w:eastAsia="Times New Roman"/>
          <w:vertAlign w:val="superscript"/>
        </w:rPr>
        <w:t>th</w:t>
      </w:r>
      <w:r w:rsidR="00CB3E18" w:rsidRPr="00D64FBE">
        <w:rPr>
          <w:rFonts w:eastAsia="Times New Roman"/>
        </w:rPr>
        <w:t xml:space="preserve"> </w:t>
      </w:r>
      <w:r w:rsidR="0068096C">
        <w:rPr>
          <w:rFonts w:eastAsia="Times New Roman"/>
        </w:rPr>
        <w:t>NOV</w:t>
      </w:r>
      <w:r w:rsidR="00CB3E18" w:rsidRPr="00D64FBE">
        <w:rPr>
          <w:rFonts w:eastAsia="Times New Roman"/>
        </w:rPr>
        <w:t xml:space="preserve"> 2020</w:t>
      </w:r>
    </w:p>
    <w:p w14:paraId="6540072F" w14:textId="38E5C468" w:rsidR="00EE438E" w:rsidRDefault="00EE438E" w:rsidP="00CB3E18">
      <w:pPr>
        <w:spacing w:after="0"/>
        <w:rPr>
          <w:lang w:eastAsia="zh-CN"/>
        </w:rPr>
      </w:pPr>
    </w:p>
    <w:bookmarkEnd w:id="0"/>
    <w:p w14:paraId="6460741B" w14:textId="77777777" w:rsidR="003E79D4" w:rsidRDefault="003E79D4" w:rsidP="00A2039F">
      <w:pPr>
        <w:overflowPunct w:val="0"/>
        <w:snapToGrid/>
        <w:spacing w:after="0"/>
        <w:textAlignment w:val="baseline"/>
        <w:rPr>
          <w:lang w:eastAsia="zh-CN"/>
        </w:rPr>
      </w:pPr>
    </w:p>
    <w:sectPr w:rsidR="003E79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5645C" w14:textId="77777777" w:rsidR="00C77730" w:rsidRDefault="00C77730">
      <w:r>
        <w:separator/>
      </w:r>
    </w:p>
  </w:endnote>
  <w:endnote w:type="continuationSeparator" w:id="0">
    <w:p w14:paraId="4F0AFFCF" w14:textId="77777777" w:rsidR="00C77730" w:rsidRDefault="00C7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37BBA" w14:textId="77777777" w:rsidR="00C77730" w:rsidRDefault="00C77730">
      <w:r>
        <w:separator/>
      </w:r>
    </w:p>
  </w:footnote>
  <w:footnote w:type="continuationSeparator" w:id="0">
    <w:p w14:paraId="529A4755" w14:textId="77777777" w:rsidR="00C77730" w:rsidRDefault="00C777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9"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2"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4"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2"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8"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7"/>
  </w:num>
  <w:num w:numId="3">
    <w:abstractNumId w:val="1"/>
  </w:num>
  <w:num w:numId="4">
    <w:abstractNumId w:val="37"/>
  </w:num>
  <w:num w:numId="5">
    <w:abstractNumId w:val="63"/>
  </w:num>
  <w:num w:numId="6">
    <w:abstractNumId w:val="67"/>
  </w:num>
  <w:num w:numId="7">
    <w:abstractNumId w:val="58"/>
  </w:num>
  <w:num w:numId="8">
    <w:abstractNumId w:val="38"/>
  </w:num>
  <w:num w:numId="9">
    <w:abstractNumId w:val="69"/>
  </w:num>
  <w:num w:numId="10">
    <w:abstractNumId w:val="21"/>
  </w:num>
  <w:num w:numId="11">
    <w:abstractNumId w:val="50"/>
  </w:num>
  <w:num w:numId="12">
    <w:abstractNumId w:val="28"/>
  </w:num>
  <w:num w:numId="13">
    <w:abstractNumId w:val="30"/>
  </w:num>
  <w:num w:numId="14">
    <w:abstractNumId w:val="45"/>
  </w:num>
  <w:num w:numId="15">
    <w:abstractNumId w:val="11"/>
  </w:num>
  <w:num w:numId="16">
    <w:abstractNumId w:val="29"/>
  </w:num>
  <w:num w:numId="17">
    <w:abstractNumId w:val="4"/>
  </w:num>
  <w:num w:numId="18">
    <w:abstractNumId w:val="62"/>
  </w:num>
  <w:num w:numId="19">
    <w:abstractNumId w:val="66"/>
  </w:num>
  <w:num w:numId="20">
    <w:abstractNumId w:val="19"/>
  </w:num>
  <w:num w:numId="21">
    <w:abstractNumId w:val="12"/>
  </w:num>
  <w:num w:numId="22">
    <w:abstractNumId w:val="35"/>
  </w:num>
  <w:num w:numId="23">
    <w:abstractNumId w:val="43"/>
  </w:num>
  <w:num w:numId="24">
    <w:abstractNumId w:val="65"/>
  </w:num>
  <w:num w:numId="25">
    <w:abstractNumId w:val="22"/>
  </w:num>
  <w:num w:numId="26">
    <w:abstractNumId w:val="2"/>
  </w:num>
  <w:num w:numId="27">
    <w:abstractNumId w:val="34"/>
  </w:num>
  <w:num w:numId="28">
    <w:abstractNumId w:val="13"/>
  </w:num>
  <w:num w:numId="29">
    <w:abstractNumId w:val="68"/>
  </w:num>
  <w:num w:numId="30">
    <w:abstractNumId w:val="61"/>
  </w:num>
  <w:num w:numId="31">
    <w:abstractNumId w:val="64"/>
  </w:num>
  <w:num w:numId="32">
    <w:abstractNumId w:val="57"/>
  </w:num>
  <w:num w:numId="33">
    <w:abstractNumId w:val="33"/>
  </w:num>
  <w:num w:numId="34">
    <w:abstractNumId w:val="3"/>
  </w:num>
  <w:num w:numId="35">
    <w:abstractNumId w:val="25"/>
  </w:num>
  <w:num w:numId="3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8"/>
  </w:num>
  <w:num w:numId="40">
    <w:abstractNumId w:val="24"/>
  </w:num>
  <w:num w:numId="41">
    <w:abstractNumId w:val="31"/>
  </w:num>
  <w:num w:numId="42">
    <w:abstractNumId w:val="9"/>
  </w:num>
  <w:num w:numId="43">
    <w:abstractNumId w:val="32"/>
  </w:num>
  <w:num w:numId="44">
    <w:abstractNumId w:val="20"/>
  </w:num>
  <w:num w:numId="45">
    <w:abstractNumId w:val="5"/>
  </w:num>
  <w:num w:numId="46">
    <w:abstractNumId w:val="14"/>
  </w:num>
  <w:num w:numId="47">
    <w:abstractNumId w:val="56"/>
  </w:num>
  <w:num w:numId="48">
    <w:abstractNumId w:val="39"/>
  </w:num>
  <w:num w:numId="49">
    <w:abstractNumId w:val="49"/>
  </w:num>
  <w:num w:numId="50">
    <w:abstractNumId w:val="36"/>
  </w:num>
  <w:num w:numId="51">
    <w:abstractNumId w:val="44"/>
  </w:num>
  <w:num w:numId="52">
    <w:abstractNumId w:val="8"/>
  </w:num>
  <w:num w:numId="53">
    <w:abstractNumId w:val="15"/>
  </w:num>
  <w:num w:numId="54">
    <w:abstractNumId w:val="35"/>
  </w:num>
  <w:num w:numId="55">
    <w:abstractNumId w:val="41"/>
  </w:num>
  <w:num w:numId="56">
    <w:abstractNumId w:val="54"/>
  </w:num>
  <w:num w:numId="57">
    <w:abstractNumId w:val="40"/>
  </w:num>
  <w:num w:numId="58">
    <w:abstractNumId w:val="53"/>
  </w:num>
  <w:num w:numId="59">
    <w:abstractNumId w:val="51"/>
  </w:num>
  <w:num w:numId="60">
    <w:abstractNumId w:val="60"/>
  </w:num>
  <w:num w:numId="61">
    <w:abstractNumId w:val="47"/>
  </w:num>
  <w:num w:numId="62">
    <w:abstractNumId w:val="42"/>
  </w:num>
  <w:num w:numId="63">
    <w:abstractNumId w:val="46"/>
  </w:num>
  <w:num w:numId="64">
    <w:abstractNumId w:val="59"/>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8"/>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16"/>
  </w:num>
  <w:num w:numId="71">
    <w:abstractNumId w:val="55"/>
  </w:num>
  <w:num w:numId="72">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1C13"/>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01E"/>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17B"/>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90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4DFE"/>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96C"/>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615"/>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E00"/>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2B"/>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730"/>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B7C"/>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2D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AE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
    <w:rsid w:val="005C4DFE"/>
    <w:pPr>
      <w:autoSpaceDE/>
      <w:autoSpaceDN/>
      <w:spacing w:beforeLines="50" w:before="120" w:after="100" w:afterAutospacing="1"/>
    </w:pPr>
    <w:rPr>
      <w:rFonts w:eastAsia="바탕"/>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CD89D-A312-4E66-A30D-10CC384E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213</Words>
  <Characters>1218</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5</cp:revision>
  <cp:lastPrinted>2017-09-30T04:18:00Z</cp:lastPrinted>
  <dcterms:created xsi:type="dcterms:W3CDTF">2020-08-06T07:07:00Z</dcterms:created>
  <dcterms:modified xsi:type="dcterms:W3CDTF">2020-08-07T08:37:00Z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